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98-bis-e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bookmarkStart w:id="18" w:name="_GoBack"/>
      <w:bookmarkEnd w:id="18"/>
      <w:r>
        <w:rPr>
          <w:rFonts w:ascii="Arial" w:hAnsi="Arial" w:cs="Arial"/>
          <w:b/>
          <w:color w:val="auto"/>
          <w:sz w:val="24"/>
          <w:szCs w:val="24"/>
        </w:rPr>
        <w:t>R4-210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6380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Apr. 12-20,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DC_1A-3A-7A-20A_n38A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DC_1A-3A-7A-20A_n38A 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auto"/>
        </w:rPr>
      </w:pPr>
      <w:bookmarkStart w:id="6" w:name="_Toc47508865"/>
      <w:bookmarkStart w:id="7" w:name="_Toc64381629"/>
      <w:bookmarkStart w:id="8" w:name="_Toc46998014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</w:t>
      </w:r>
      <w:r>
        <w:rPr>
          <w:color w:val="auto"/>
        </w:rPr>
        <w:tab/>
      </w:r>
      <w:bookmarkEnd w:id="6"/>
      <w:bookmarkEnd w:id="7"/>
      <w:bookmarkEnd w:id="8"/>
      <w:r>
        <w:rPr>
          <w:rFonts w:hint="eastAsia"/>
          <w:color w:val="auto"/>
          <w:lang w:val="en-US" w:eastAsia="zh-CN"/>
        </w:rPr>
        <w:t>DC_1-3-7-20_n38</w:t>
      </w: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auto"/>
        </w:rPr>
      </w:pPr>
      <w:bookmarkStart w:id="9" w:name="_Toc47508866"/>
      <w:bookmarkStart w:id="10" w:name="_Toc64381630"/>
      <w:bookmarkStart w:id="11" w:name="_Toc46998015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.2.1</w:t>
      </w:r>
      <w:r>
        <w:rPr>
          <w:color w:val="auto"/>
        </w:rPr>
        <w:tab/>
      </w:r>
      <w:r>
        <w:rPr>
          <w:color w:val="auto"/>
        </w:rPr>
        <w:t>Configuration for EN-DC</w:t>
      </w:r>
      <w:bookmarkEnd w:id="9"/>
      <w:bookmarkEnd w:id="10"/>
      <w:bookmarkEnd w:id="11"/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</w:t>
      </w:r>
      <w:r>
        <w:rPr>
          <w:color w:val="auto"/>
          <w:lang w:val="en-GB"/>
        </w:rPr>
        <w:t>2.1</w:t>
      </w:r>
      <w:r>
        <w:rPr>
          <w:color w:val="auto"/>
        </w:rPr>
        <w:t>-1: Band combinations EN-DC (f</w:t>
      </w:r>
      <w:r>
        <w:rPr>
          <w:color w:val="auto"/>
          <w:lang w:val="en-GB"/>
        </w:rPr>
        <w:t>ive</w:t>
      </w:r>
      <w:r>
        <w:rPr>
          <w:color w:val="auto"/>
        </w:rPr>
        <w:t xml:space="preserve">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rFonts w:eastAsia="MS Mincho" w:cs="Arial"/>
                <w:color w:val="auto"/>
                <w:lang w:eastAsia="sv-SE"/>
              </w:rPr>
            </w:pPr>
            <w:r>
              <w:rPr>
                <w:rFonts w:cs="Arial"/>
                <w:color w:val="auto"/>
                <w:lang w:eastAsia="sv-SE"/>
              </w:rPr>
              <w:t>EN-DC band configuration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rFonts w:eastAsia="MS Mincho" w:cs="Arial"/>
                <w:color w:val="auto"/>
                <w:lang w:val="fi-FI" w:eastAsia="sv-SE"/>
              </w:rPr>
            </w:pPr>
            <w:r>
              <w:rPr>
                <w:rFonts w:cs="Arial"/>
                <w:color w:val="auto"/>
                <w:lang w:eastAsia="sv-SE"/>
              </w:rPr>
              <w:t>UL configuration(s)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fi-FI" w:eastAsia="sv-SE" w:bidi="ar"/>
              </w:rPr>
            </w:pP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DC_1A-3A-7A-20A_n38A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sv-SE" w:bidi="ar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1A</w:t>
            </w: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x</w:t>
            </w: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3A</w:t>
            </w: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x</w:t>
            </w: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20A</w:t>
            </w: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800" w:hanging="800" w:hangingChars="40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cs="Intel Clear"/>
                <w:color w:val="auto"/>
                <w:sz w:val="20"/>
                <w:szCs w:val="20"/>
              </w:rPr>
              <w:t xml:space="preserve">NOTE </w:t>
            </w:r>
            <w:r>
              <w:rPr>
                <w:rFonts w:hint="eastAsia" w:eastAsia="宋体" w:cs="Intel Clear"/>
                <w:color w:val="auto"/>
                <w:sz w:val="20"/>
                <w:szCs w:val="20"/>
                <w:lang w:val="en-US" w:eastAsia="zh-CN"/>
              </w:rPr>
              <w:t>x</w:t>
            </w:r>
            <w:r>
              <w:rPr>
                <w:rFonts w:cs="Intel Clear"/>
                <w:color w:val="auto"/>
                <w:sz w:val="20"/>
                <w:szCs w:val="20"/>
              </w:rPr>
              <w:t>:</w:t>
            </w:r>
            <w:r>
              <w:rPr>
                <w:rFonts w:cs="Intel Clear"/>
                <w:color w:val="auto"/>
                <w:sz w:val="20"/>
                <w:szCs w:val="20"/>
              </w:rPr>
              <w:tab/>
            </w:r>
            <w:r>
              <w:rPr>
                <w:rFonts w:cs="Intel Clear"/>
                <w:color w:val="auto"/>
                <w:sz w:val="20"/>
                <w:szCs w:val="20"/>
              </w:rPr>
              <w:t xml:space="preserve">UL carrier shall be supported in Band </w:t>
            </w:r>
            <w:r>
              <w:rPr>
                <w:rFonts w:hint="eastAsia" w:eastAsia="宋体" w:cs="Intel Clear"/>
                <w:color w:val="auto"/>
                <w:sz w:val="20"/>
                <w:szCs w:val="20"/>
                <w:lang w:val="en-US" w:eastAsia="zh-CN"/>
              </w:rPr>
              <w:t>1, Band 3</w:t>
            </w:r>
            <w:r>
              <w:rPr>
                <w:rFonts w:cs="Intel Clear"/>
                <w:color w:val="auto"/>
                <w:sz w:val="20"/>
                <w:szCs w:val="20"/>
              </w:rPr>
              <w:t xml:space="preserve"> or band </w:t>
            </w:r>
            <w:r>
              <w:rPr>
                <w:rFonts w:hint="eastAsia" w:eastAsia="宋体" w:cs="Intel Clear"/>
                <w:color w:val="auto"/>
                <w:sz w:val="20"/>
                <w:szCs w:val="20"/>
                <w:lang w:val="en-US" w:eastAsia="zh-CN"/>
              </w:rPr>
              <w:t>20</w:t>
            </w:r>
            <w:r>
              <w:rPr>
                <w:rFonts w:cs="Intel Clear"/>
                <w:color w:val="auto"/>
                <w:sz w:val="20"/>
                <w:szCs w:val="20"/>
              </w:rPr>
              <w:t xml:space="preserve"> only. Power imbalance between downlink carriers on Band 7 and Band 38 is assumed to be within 6dB.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auto"/>
        </w:rPr>
      </w:pPr>
      <w:bookmarkStart w:id="12" w:name="_Toc46998016"/>
      <w:bookmarkStart w:id="13" w:name="_Toc47508867"/>
      <w:bookmarkStart w:id="14" w:name="_Toc64381631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.2.2</w:t>
      </w:r>
      <w:r>
        <w:rPr>
          <w:color w:val="auto"/>
        </w:rPr>
        <w:tab/>
      </w:r>
      <w:r>
        <w:rPr>
          <w:color w:val="auto"/>
        </w:rPr>
        <w:t>∆TIB and ∆RIB values</w:t>
      </w:r>
      <w:bookmarkEnd w:id="12"/>
      <w:bookmarkEnd w:id="13"/>
      <w:bookmarkEnd w:id="14"/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val="en-GB" w:eastAsia="zh-CN"/>
        </w:rPr>
        <w:t>5.x</w:t>
      </w:r>
      <w:r>
        <w:rPr>
          <w:color w:val="auto"/>
        </w:rPr>
        <w:t>.</w:t>
      </w:r>
      <w:r>
        <w:rPr>
          <w:color w:val="auto"/>
          <w:lang w:val="en-GB"/>
        </w:rPr>
        <w:t>2</w:t>
      </w:r>
      <w:r>
        <w:rPr>
          <w:color w:val="auto"/>
        </w:rPr>
        <w:t>.</w:t>
      </w:r>
      <w:r>
        <w:rPr>
          <w:color w:val="auto"/>
          <w:lang w:val="en-GB"/>
        </w:rPr>
        <w:t>2</w:t>
      </w:r>
      <w:r>
        <w:rPr>
          <w:color w:val="auto"/>
        </w:rPr>
        <w:t>.-1: ΔT</w:t>
      </w:r>
      <w:r>
        <w:rPr>
          <w:color w:val="auto"/>
          <w:vertAlign w:val="subscript"/>
        </w:rPr>
        <w:t>IB,c</w:t>
      </w:r>
      <w:r>
        <w:rPr>
          <w:color w:val="auto"/>
        </w:rPr>
        <w:t xml:space="preserve"> due to EN-DC (</w:t>
      </w:r>
      <w:r>
        <w:rPr>
          <w:color w:val="auto"/>
          <w:lang w:val="en-GB"/>
        </w:rPr>
        <w:t>five</w:t>
      </w:r>
      <w:r>
        <w:rPr>
          <w:color w:val="auto"/>
        </w:rPr>
        <w:t xml:space="preserve">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rFonts w:cs="Arial"/>
                <w:color w:val="auto"/>
                <w:lang w:eastAsia="sv-SE"/>
              </w:rPr>
              <w:t>EN-DC band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color w:val="auto"/>
                <w:lang w:eastAsia="sv-SE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color w:val="auto"/>
                <w:lang w:eastAsia="sv-SE"/>
              </w:rPr>
              <w:t>ΔT</w:t>
            </w:r>
            <w:r>
              <w:rPr>
                <w:color w:val="auto"/>
                <w:vertAlign w:val="subscript"/>
                <w:lang w:eastAsia="sv-SE"/>
              </w:rPr>
              <w:t>IB,c</w:t>
            </w:r>
            <w:r>
              <w:rPr>
                <w:color w:val="auto"/>
                <w:lang w:eastAsia="sv-SE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GB" w:eastAsia="sv-SE"/>
              </w:rPr>
            </w:pP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DC_1A-3A-7A-20A_n38A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GB" w:eastAsia="ja-JP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zh-CN" w:eastAsia="ja-JP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GB" w:eastAsia="zh-CN"/>
              </w:rPr>
            </w:pPr>
            <w:r>
              <w:rPr>
                <w:rFonts w:hint="eastAsia" w:eastAsia="宋体" w:cs="Arial"/>
                <w:color w:val="auto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zh-CN" w:eastAsia="zh-CN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0.</w:t>
            </w:r>
            <w:r>
              <w:rPr>
                <w:rFonts w:hint="eastAsia" w:eastAsia="宋体" w:cs="Arial"/>
                <w:color w:val="auto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cs="Arial"/>
                <w:color w:val="auto"/>
                <w:lang w:val="en-GB" w:eastAsia="ja-JP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20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 w:cs="Arial"/>
                <w:color w:val="auto"/>
                <w:lang w:val="zh-CN" w:eastAsia="zh-CN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0.</w:t>
            </w:r>
            <w:r>
              <w:rPr>
                <w:rFonts w:hint="eastAsia" w:eastAsia="宋体" w:cs="Arial"/>
                <w:color w:val="auto"/>
                <w:lang w:val="en-US" w:eastAsia="zh-CN"/>
              </w:rPr>
              <w:t>5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val="en-GB" w:eastAsia="zh-CN"/>
        </w:rPr>
        <w:t>5.x</w:t>
      </w:r>
      <w:r>
        <w:rPr>
          <w:color w:val="auto"/>
        </w:rPr>
        <w:t>.</w:t>
      </w:r>
      <w:r>
        <w:rPr>
          <w:color w:val="auto"/>
          <w:lang w:val="en-GB"/>
        </w:rPr>
        <w:t>2</w:t>
      </w:r>
      <w:r>
        <w:rPr>
          <w:color w:val="auto"/>
        </w:rPr>
        <w:t>.</w:t>
      </w:r>
      <w:r>
        <w:rPr>
          <w:color w:val="auto"/>
          <w:lang w:val="en-GB"/>
        </w:rPr>
        <w:t>2</w:t>
      </w:r>
      <w:r>
        <w:rPr>
          <w:color w:val="auto"/>
        </w:rPr>
        <w:t>.-2: ΔR</w:t>
      </w:r>
      <w:r>
        <w:rPr>
          <w:color w:val="auto"/>
          <w:vertAlign w:val="subscript"/>
        </w:rPr>
        <w:t>IB,c</w:t>
      </w:r>
      <w:r>
        <w:rPr>
          <w:color w:val="auto"/>
        </w:rPr>
        <w:t xml:space="preserve"> due to EN-DC (</w:t>
      </w:r>
      <w:r>
        <w:rPr>
          <w:color w:val="auto"/>
          <w:lang w:val="en-GB"/>
        </w:rPr>
        <w:t>five</w:t>
      </w:r>
      <w:r>
        <w:rPr>
          <w:color w:val="auto"/>
        </w:rPr>
        <w:t xml:space="preserve">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57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rFonts w:cs="Arial"/>
                <w:color w:val="auto"/>
                <w:lang w:eastAsia="sv-SE"/>
              </w:rPr>
              <w:t>EN-DC band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color w:val="auto"/>
                <w:lang w:eastAsia="sv-SE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color w:val="auto"/>
                <w:lang w:eastAsia="sv-SE"/>
              </w:rPr>
            </w:pPr>
            <w:r>
              <w:rPr>
                <w:rFonts w:cs="Arial"/>
                <w:color w:val="auto"/>
                <w:lang w:eastAsia="sv-SE"/>
              </w:rPr>
              <w:t>ΔR</w:t>
            </w:r>
            <w:r>
              <w:rPr>
                <w:rFonts w:cs="Arial"/>
                <w:color w:val="auto"/>
                <w:vertAlign w:val="subscript"/>
                <w:lang w:eastAsia="sv-SE"/>
              </w:rPr>
              <w:t>IB,c</w:t>
            </w:r>
            <w:r>
              <w:rPr>
                <w:rFonts w:cs="Arial"/>
                <w:color w:val="auto"/>
                <w:lang w:eastAsia="sv-SE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eastAsia="sv-SE"/>
              </w:rPr>
            </w:pPr>
            <w:r>
              <w:rPr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DC_1A-3A-7A-20A_n38A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auto"/>
                <w:sz w:val="18"/>
                <w:lang w:val="zh-CN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rFonts w:hint="eastAsia" w:eastAsia="宋体" w:cs="Arial"/>
                <w:color w:val="auto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eastAsia="sv-SE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auto"/>
                <w:sz w:val="18"/>
                <w:lang w:val="zh-CN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Malgun Gothic" w:cs="Arial"/>
                <w:color w:val="auto"/>
                <w:lang w:eastAsia="ko-KR"/>
              </w:rPr>
            </w:pPr>
            <w:r>
              <w:rPr>
                <w:rFonts w:eastAsia="Malgun Gothic" w:cs="Arial"/>
                <w:color w:val="auto"/>
                <w:lang w:eastAsia="ko-KR"/>
              </w:rPr>
              <w:t>20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 w:cs="Arial"/>
                <w:color w:val="auto"/>
                <w:lang w:eastAsia="zh-CN"/>
              </w:rPr>
            </w:pPr>
            <w:r>
              <w:rPr>
                <w:rFonts w:hint="eastAsia" w:eastAsia="宋体" w:cs="Arial"/>
                <w:color w:val="auto"/>
                <w:lang w:val="en-US" w:eastAsia="zh-CN"/>
              </w:rPr>
              <w:t>0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auto"/>
        </w:rPr>
      </w:pPr>
      <w:bookmarkStart w:id="15" w:name="_Toc64381632"/>
      <w:bookmarkStart w:id="16" w:name="_Toc47508868"/>
      <w:bookmarkStart w:id="17" w:name="_Toc46998017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.2.3</w:t>
      </w:r>
      <w:r>
        <w:rPr>
          <w:color w:val="auto"/>
        </w:rPr>
        <w:tab/>
      </w:r>
      <w:r>
        <w:rPr>
          <w:color w:val="auto"/>
        </w:rPr>
        <w:t>Reference sensitivity exceptions</w:t>
      </w:r>
      <w:bookmarkEnd w:id="15"/>
      <w:bookmarkEnd w:id="16"/>
      <w:bookmarkEnd w:id="17"/>
    </w:p>
    <w:p>
      <w:pPr>
        <w:rPr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</w:pPr>
      <w:r>
        <w:rPr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sv-SE" w:eastAsia="zh-CN" w:bidi="ar"/>
        </w:rPr>
        <w:t xml:space="preserve"> </w:t>
      </w:r>
      <w:r>
        <w:rPr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  <w:t>Compared to its fallback modes, there are no additional MSD requirements for this band combination.</w:t>
      </w:r>
    </w:p>
    <w:bookmarkEnd w:id="3"/>
    <w:bookmarkEnd w:id="4"/>
    <w:bookmarkEnd w:id="5"/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16318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0C39AB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CD3071D"/>
    <w:rsid w:val="0D0B148C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F2DCB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9EA7917"/>
    <w:rsid w:val="2A04072B"/>
    <w:rsid w:val="2A0E1DB2"/>
    <w:rsid w:val="2A594F05"/>
    <w:rsid w:val="2A7A574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4262B1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BE22FA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C74BE"/>
    <w:rsid w:val="3AA33175"/>
    <w:rsid w:val="3ACD27A7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F0E1C"/>
    <w:rsid w:val="3CE54FBD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6075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3C2BE1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3452F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7D582F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DA2ED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B32A1D"/>
    <w:rsid w:val="65FF7A5D"/>
    <w:rsid w:val="6607216D"/>
    <w:rsid w:val="665F0D15"/>
    <w:rsid w:val="66715B63"/>
    <w:rsid w:val="668C1E98"/>
    <w:rsid w:val="66B73A6C"/>
    <w:rsid w:val="66BA3A61"/>
    <w:rsid w:val="66BB4713"/>
    <w:rsid w:val="66DF554A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7F1FF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926260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210E1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2021-04-02T13:35:17Z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